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7D8A" w14:textId="77777777" w:rsidR="008315E1" w:rsidRPr="008315E1" w:rsidRDefault="008315E1" w:rsidP="007506D0">
      <w:pPr>
        <w:shd w:val="clear" w:color="auto" w:fill="FFFFFF"/>
        <w:spacing w:after="150" w:line="240" w:lineRule="auto"/>
        <w:jc w:val="center"/>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ANEXO II</w:t>
      </w:r>
    </w:p>
    <w:p w14:paraId="75BFFF94" w14:textId="77777777" w:rsidR="008315E1" w:rsidRPr="008315E1" w:rsidRDefault="008315E1" w:rsidP="005A2639">
      <w:pPr>
        <w:shd w:val="clear" w:color="auto" w:fill="FFFFFF"/>
        <w:spacing w:after="150" w:line="240" w:lineRule="auto"/>
        <w:ind w:firstLine="1200"/>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SEGURO GARANTIA PARA NEGOCIAÇÃO ADMINISTRATIVA</w:t>
      </w:r>
    </w:p>
    <w:p w14:paraId="61BCD8E9"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Frontispício de Apólice</w:t>
      </w:r>
    </w:p>
    <w:p w14:paraId="24DA3E22"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Nº de controle da apólice: --------------------</w:t>
      </w:r>
    </w:p>
    <w:p w14:paraId="638E6FDF"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Nº da proposta: --------------------</w:t>
      </w:r>
    </w:p>
    <w:p w14:paraId="6A66AFD3"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xml:space="preserve">A(s) sociedade(s) seguradora(s) --------------------, CNPJ nº-------------------- , com sede no endereço -------------------- , pelo limite de responsabilidade máxima assumida (por extenso) ---------------- [no caso de cosseguro, quando não estabelecida a responsabilidade solidária entre as </w:t>
      </w:r>
      <w:proofErr w:type="spellStart"/>
      <w:r w:rsidRPr="008315E1">
        <w:rPr>
          <w:rFonts w:ascii="Arial" w:eastAsia="Times New Roman" w:hAnsi="Arial" w:cs="Arial"/>
          <w:color w:val="162937"/>
          <w:kern w:val="0"/>
          <w:sz w:val="20"/>
          <w:szCs w:val="20"/>
          <w:lang w:eastAsia="pt-BR"/>
          <w14:ligatures w14:val="none"/>
        </w:rPr>
        <w:t>cosseguradoras</w:t>
      </w:r>
      <w:proofErr w:type="spellEnd"/>
      <w:r w:rsidRPr="008315E1">
        <w:rPr>
          <w:rFonts w:ascii="Arial" w:eastAsia="Times New Roman" w:hAnsi="Arial" w:cs="Arial"/>
          <w:color w:val="162937"/>
          <w:kern w:val="0"/>
          <w:sz w:val="20"/>
          <w:szCs w:val="20"/>
          <w:lang w:eastAsia="pt-BR"/>
          <w14:ligatures w14:val="none"/>
        </w:rPr>
        <w:t xml:space="preserve">, conforme determina a </w:t>
      </w:r>
      <w:proofErr w:type="spellStart"/>
      <w:r w:rsidRPr="008315E1">
        <w:rPr>
          <w:rFonts w:ascii="Arial" w:eastAsia="Times New Roman" w:hAnsi="Arial" w:cs="Arial"/>
          <w:color w:val="162937"/>
          <w:kern w:val="0"/>
          <w:sz w:val="20"/>
          <w:szCs w:val="20"/>
          <w:lang w:eastAsia="pt-BR"/>
          <w14:ligatures w14:val="none"/>
        </w:rPr>
        <w:t>claúsula</w:t>
      </w:r>
      <w:proofErr w:type="spellEnd"/>
      <w:r w:rsidRPr="008315E1">
        <w:rPr>
          <w:rFonts w:ascii="Arial" w:eastAsia="Times New Roman" w:hAnsi="Arial" w:cs="Arial"/>
          <w:color w:val="162937"/>
          <w:kern w:val="0"/>
          <w:sz w:val="20"/>
          <w:szCs w:val="20"/>
          <w:lang w:eastAsia="pt-BR"/>
          <w14:ligatures w14:val="none"/>
        </w:rPr>
        <w:t xml:space="preserve"> 13.1.1.], por esta APÓLICE garante o fiel cumprimento das obrigações assumidas pelo tomador --------------------, CNPJ/CPF nº -------------------- perante o segurado, ---------- [UNIÃO ou o FUNDO DE GARANTIA DO TEMPO DE SERVIÇO - FGTS], representado(a) pela Procuradoria Geral da Fazenda Nacional, conforme os termos da apólice e até o Limite Máximo de Garantia - LMG no valor de R$ --------------- (total do débito consolidado a ser negociado, com os encargos e acréscimos legais, devidamente atualizado pelos índices legais aplicáveis aos débitos inscritos em dívida ativa da União ou do FGTS, sem considerar para esse fim eventuais descontos legais previstos na negociação), relativas à(s) CDA de nº ---------------- (número da inscrição em dívida ativa) ou Processo Administrativo Fiscal de nº ---------------- ou de Negociação Administrativa de nº -----------------, e prazo de vigência com início no dia --- ----------- e término em --------------, mediante estipulação de prêmio ao tomador no valor de R$ ----------------, com as seguintes condições de pagamento ----------------.</w:t>
      </w:r>
    </w:p>
    <w:p w14:paraId="00742E7D"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Data de emissão da apólice: --------------</w:t>
      </w:r>
    </w:p>
    <w:p w14:paraId="0428160E" w14:textId="77777777" w:rsidR="008315E1" w:rsidRPr="008315E1" w:rsidRDefault="008315E1" w:rsidP="00632C90">
      <w:pPr>
        <w:shd w:val="clear" w:color="auto" w:fill="FFFFFF"/>
        <w:spacing w:after="150" w:line="240" w:lineRule="auto"/>
        <w:ind w:firstLine="1200"/>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CONDIÇÕES CONTRATUAIS</w:t>
      </w:r>
    </w:p>
    <w:p w14:paraId="10E2C3BF"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 Objeto:</w:t>
      </w:r>
    </w:p>
    <w:p w14:paraId="667C3F3F"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1.1. Este contrato de seguro garante indenização pelo pagamento dos valores dos débitos inscritos em dívida ativa da União ou do FGTS indicados no frontispício da apólice que o tomador necessite realizar ao segurado, decorrente de negociação administrativa.</w:t>
      </w:r>
    </w:p>
    <w:p w14:paraId="4793520C"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1.2. Após a aceitação da garantia pelo segurado, esta apólice assegura a indenização ao segurado, pelo Limite Máximo de Garantia - LMG, correspondente ao total do débito consolidado a ser negociado, com os encargos e acréscimos legais, devidamente atualizado pelos índices legais aplicáveis aos débitos inscritos em dívida ativa da União ou do FGTS, sem considerar para esse fim eventuais descontos legais previstos na negociação, quando caracterizado o sinistro pela inadimplência do tomador em relação à obrigação garantida, mediante intimação da seguradora.</w:t>
      </w:r>
    </w:p>
    <w:p w14:paraId="79BF739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1.3. No caso dos créditos previdenciários inscritos antes da Lei nº 11.457, de 16 de março de 2007, e dos créditos rurais, sobre os quais não incide o encargo legal do art. 1º do Decreto-Lei nº 1.025, de 21 de outubro de 1969, o LMG corresponde ao total do débito a ser garantido, com os encargos e acréscimos legais, acrescido dos honorários advocatícios, devidamente atualizado.</w:t>
      </w:r>
    </w:p>
    <w:p w14:paraId="40C1806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 Definições:</w:t>
      </w:r>
    </w:p>
    <w:p w14:paraId="5A66E912"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 Aplicam-se a este seguro as seguintes definições:</w:t>
      </w:r>
    </w:p>
    <w:p w14:paraId="39083D9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 Tomador: devedor das obrigações estabelecidas no objeto principal perante o segurado.</w:t>
      </w:r>
    </w:p>
    <w:p w14:paraId="0C2FB2D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2.1.2. Segurado: a União ou o FGTS, representados neste ato pela Procuradoria-Geral da Fazenda Nacional.</w:t>
      </w:r>
    </w:p>
    <w:p w14:paraId="1CEC5B37"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2.1.3. Seguradora: a sociedade de seguros garantidora do cumprimento das obrigações assumidas pelo tomador perante a Procuradoria-Geral da Fazenda Nacional, nos termos da apólice.</w:t>
      </w:r>
    </w:p>
    <w:p w14:paraId="32740B8C"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lastRenderedPageBreak/>
        <w:t>2.1.4. Negociação administrativa: forma de regularização de débitos inscritos em dívida ativa da União e do FGTS, por meio de parcelamento, acordo de transação ou negócio jurídico processual.</w:t>
      </w:r>
    </w:p>
    <w:p w14:paraId="28EBC70A"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2.1.5. Seguro garantia para execução fiscal: modalidade destinada a assegurar o pagamento de valores que o tomador necessite realizar antecipadamente ou no trâmite de processos judiciais de natureza fiscal.</w:t>
      </w:r>
    </w:p>
    <w:p w14:paraId="783F818D"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2.1.6. Seguro garantia para negociação administrativa: modalidade destinada a assegurar o pagamento do saldo devedor remanescente, decorrente da rescisão de negociação administrativa de débitos inscritos em dívida ativa da União ou do FGTS.</w:t>
      </w:r>
    </w:p>
    <w:p w14:paraId="375A03E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2.1.7. Apólice: documento assinado pela seguradora, que representa formalmente o contrato de seguro garantia.</w:t>
      </w:r>
    </w:p>
    <w:p w14:paraId="135443D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2.1.8. Sinistro: a inadimplência do tomador em relação às obrigações estipuladas na apólice de seguro garantia.</w:t>
      </w:r>
    </w:p>
    <w:p w14:paraId="22BAFB7A"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2.1.9. Expectativa de sinistro: fato que indica a possibilidade da caracterização de sinistro e o início dos trâmites para comprovação da inadimplência do tomador no seguro garantia para negociação administrativa.</w:t>
      </w:r>
    </w:p>
    <w:p w14:paraId="7A4E3A87"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2.1.10. Indenização: pagamento das obrigações cobertas pelo seguro garantia por parte das seguradoras, a partir da caracterização do sinistro.</w:t>
      </w:r>
    </w:p>
    <w:p w14:paraId="26284AA0"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2.1.11. Prêmio: importância devida pelo tomador à seguradora em função da cobertura do seguro e que deverá constar da apólice.</w:t>
      </w:r>
    </w:p>
    <w:p w14:paraId="72C3A01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2.1.12. Seguradora líder: a seguradora que compartilha o mesmo risco com 1 (uma) ou mais seguradoras, ficando incumbida da administração e operação da apólice.</w:t>
      </w:r>
    </w:p>
    <w:p w14:paraId="55E13C2A"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2.1.13. Cláusula de seguradora líder: cláusula da apólice que nomeia a seguradora líder.</w:t>
      </w:r>
    </w:p>
    <w:p w14:paraId="3CCDFEE2"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2.1.14. Cosseguro: operação de seguro em que 2 (duas) ou mais seguradoras distribuem os riscos de determinada apólice sem solidariedade, salvo previsão em sentido diverso no contrato de cosseguro.</w:t>
      </w:r>
    </w:p>
    <w:p w14:paraId="45B805F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2.1.15. Modalidade: conjunto de cláusulas que estabelecem as disposições específicas do seguro garantia de acordo com as características, dispositivos e legislação da obrigação garantida.</w:t>
      </w:r>
    </w:p>
    <w:p w14:paraId="3FC96A63"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2.1.16. Objeto principal: débitos inscritos em dívida ativa da União ou do FGTS que, por serem títulos executivos extrajudiciais, podem ser cobrados administrativa e judicialmente pela Procuradoria-Geral da Fazenda Nacional, ou débitos em vias de serem inscritos.</w:t>
      </w:r>
    </w:p>
    <w:p w14:paraId="2D031E66"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2.1.17. Obrigação garantida: obrigação assumida pelo tomador perante a Procuradoria-Geral da Fazenda Nacional e garantida pela apólice de seguro garantia.</w:t>
      </w:r>
    </w:p>
    <w:p w14:paraId="6BB1FF00"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2.1.18. Saldo devedor remanescente da negociação: dívida remanescente após a rescisão da negociação administrativa, devidamente atualizada pelos índices legais aplicáveis aos débitos inscritos em dívida ativa da União ou do FGTS.</w:t>
      </w:r>
    </w:p>
    <w:p w14:paraId="26909BF0"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2.1.19. Valor da garantia: valor máximo garantido pela apólice, equivalente ao Limite Máximo de Garantia - LMG.</w:t>
      </w:r>
    </w:p>
    <w:p w14:paraId="14BB0043"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 Contratação:</w:t>
      </w:r>
    </w:p>
    <w:p w14:paraId="6505B50C"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3.1. A celebração ou a renovação do contrato de seguro somente poderá ser feita mediante proposta assinada pelo proponente, seu representante ou por corretor de seguros habilitado.</w:t>
      </w:r>
    </w:p>
    <w:p w14:paraId="26FF7BBB"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3.2. A proposta escrita deverá conter os elementos essenciais ao exame e aceitação do risco pela seguradora.</w:t>
      </w:r>
    </w:p>
    <w:p w14:paraId="323A7DC4"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lastRenderedPageBreak/>
        <w:t>3.3. A seguradora terá o prazo de 25 (vinte e cinco) dias para se manifestar sobre a aceitação ou recusa da proposta, contados da data de seu recebimento, seja para seguros novos ou renovações.</w:t>
      </w:r>
    </w:p>
    <w:p w14:paraId="08F790F6"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3.3.1. A seguradora poderá solicitar documentos complementares, desde que indique os fundamentos do pedido de novos elementos para a avaliação da proposta ou taxação do risco, no prazo da cláusula 3.3.</w:t>
      </w:r>
    </w:p>
    <w:p w14:paraId="1C80EF2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3.3.2. O atendimento à solicitação de documentos complementares para análise e aceitação do risco, ou da alteração da proposta, deverá ser realizado no prazo máximo de 25 (vinte e cinco) dias.</w:t>
      </w:r>
    </w:p>
    <w:p w14:paraId="1963977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3.3.3. A partir do atendimento da solicitação de documentos complementares ou do decurso do prazo de 25 (vinte e cinco) dias previsto na cláusula 3.3.2 terá novo início o prazo para a aceitação ou recusa da proposta.</w:t>
      </w:r>
    </w:p>
    <w:p w14:paraId="1CB58F96"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3.4. No caso de recusa da proposta, a seguradora comunicará o fato, por escrito, ao proponente, especificando os motivos.</w:t>
      </w:r>
    </w:p>
    <w:p w14:paraId="7C52368B"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3.4.1. A ausência de manifestação por escrito da seguradora dentro do prazo previsto na cláusula 3.3. implica a aceitação tácita da proposta.</w:t>
      </w:r>
    </w:p>
    <w:p w14:paraId="79037684"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3.5. As condições contratuais restritas à relação entre a seguradora e o tomador, cujo teor não poderá prejudicar os direitos do segurado, nem modificar as cláusulas deste contrato, deverão estar previstas em contrato apartado e dispensam a aceitação do segurado.</w:t>
      </w:r>
    </w:p>
    <w:p w14:paraId="14E6A842"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3.6. Prevalecerão as cláusulas estabelecidas neste contrato em caso de conflito com as descritas na cláusula 3.5.</w:t>
      </w:r>
    </w:p>
    <w:p w14:paraId="6FD19AA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3.7. O disposto neste contrato não exclui a obrigatoriedade de observância de outros atos normativos editados pelos órgão regulador e fiscalizador de seguros.</w:t>
      </w:r>
    </w:p>
    <w:p w14:paraId="5726FF17"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4. Valor da garantia:</w:t>
      </w:r>
    </w:p>
    <w:p w14:paraId="0E14EA1A"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4.1. O valor da garantia desta apólice é o valor máximo por ela garantido.</w:t>
      </w:r>
    </w:p>
    <w:p w14:paraId="5365ABA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4.2. Fica assegurada a atualização automática do valor da garantia pelos índices legais aplicáveis aos débitos inscritos em dívida ativa da União ou do FGTS, sem exigência de manifestação expressa do segurado ou do tomador.</w:t>
      </w:r>
    </w:p>
    <w:p w14:paraId="7E762490"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4.3. Para alterações posteriores efetuadas no contrato principal ou no documento que serviu de base para a aceitação do risco pela seguradora, em virtude das quais se faça necessária a modificação do valor contratual, o valor da garantia poderá acompanhar tais modificações, desde que solicitado e haja o respectivo aceite pela seguradora, por meio da emissão de endosso.</w:t>
      </w:r>
    </w:p>
    <w:p w14:paraId="1565A9CB"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5. Prêmio do seguro:</w:t>
      </w:r>
    </w:p>
    <w:p w14:paraId="782F7F6C"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5.1. O tomador é responsável pelo pagamento do prêmio à seguradora por todo o prazo de vigência da apólice.</w:t>
      </w:r>
    </w:p>
    <w:p w14:paraId="513858A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xml:space="preserve">5.2. Fica entendido e acordado que o seguro continuará em vigor mesmo quando o tomador não houver </w:t>
      </w:r>
      <w:proofErr w:type="gramStart"/>
      <w:r w:rsidRPr="008315E1">
        <w:rPr>
          <w:rFonts w:ascii="Arial" w:eastAsia="Times New Roman" w:hAnsi="Arial" w:cs="Arial"/>
          <w:color w:val="162937"/>
          <w:kern w:val="0"/>
          <w:sz w:val="20"/>
          <w:szCs w:val="20"/>
          <w:lang w:eastAsia="pt-BR"/>
          <w14:ligatures w14:val="none"/>
        </w:rPr>
        <w:t>pago</w:t>
      </w:r>
      <w:proofErr w:type="gramEnd"/>
      <w:r w:rsidRPr="008315E1">
        <w:rPr>
          <w:rFonts w:ascii="Arial" w:eastAsia="Times New Roman" w:hAnsi="Arial" w:cs="Arial"/>
          <w:color w:val="162937"/>
          <w:kern w:val="0"/>
          <w:sz w:val="20"/>
          <w:szCs w:val="20"/>
          <w:lang w:eastAsia="pt-BR"/>
          <w14:ligatures w14:val="none"/>
        </w:rPr>
        <w:t xml:space="preserve"> o prêmio nas datas convencionadas, com base no art. 16, § 1º, da Circular Susep nº 662, de 11 de abril de 2022, sendo que a seguradora renuncia expressamente as disposições constantes no art. 763 da Lei nº 10.406, de 10 de janeiro de 2002 - Código Civil, no art. 12 do Decreto-Lei nº 73, de 21 de novembro de 1966, e no art. 20 da Lei nº 15.040, de 9 de dezembro de 2024.</w:t>
      </w:r>
    </w:p>
    <w:p w14:paraId="79ADF9C6"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5.3. O tomador também será responsável pelo pagamento de eventual prêmio adicional decorrente de alterações na apólice ou da atualização dos valores da apólice previstas na cláusula 10.</w:t>
      </w:r>
    </w:p>
    <w:p w14:paraId="22540B7B"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6. Vigência:</w:t>
      </w:r>
    </w:p>
    <w:p w14:paraId="0D492C8D"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6.1. A vigência da apólice será igual ao prazo informado no frontispício, que deve corresponder ao prazo de duração da negociação administrativa, ressalvada a hipótese da cláusula 6.2.</w:t>
      </w:r>
    </w:p>
    <w:p w14:paraId="4B3EDFE9"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lastRenderedPageBreak/>
        <w:t>6.2. Caso o segurado aceite apólice com prazo inferior ao da negociação administrativa, o prazo de vigência deverá ser de, no mínimo, 5 (cinco) anos e observar a cláusula 7.</w:t>
      </w:r>
    </w:p>
    <w:p w14:paraId="4620BA72"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 Renovação:</w:t>
      </w:r>
    </w:p>
    <w:p w14:paraId="709D883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7.1. Será assegurada a manutenção da cobertura enquanto houver risco a ser coberto, mediante renovações sucessivas da apólice.</w:t>
      </w:r>
    </w:p>
    <w:p w14:paraId="667FC04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7.1.1. A seguradora fica desde já autorizada pelo tomador a proceder a emissão de nova apólice ou endosso(s) para a renovação da garantia, até o término da negociação administrativa objeto de garantia, tantas vezes quantas forem necessárias, independentemente de solicitação do tomador.</w:t>
      </w:r>
    </w:p>
    <w:p w14:paraId="4DFF7DD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7.2. A seguradora somente poderá se manifestar pela não renovação do seguro garantia se não houver mais risco a ser coberto pela apólice ou houver a substituição da apólice por nova garantia aceita pelo segurado.</w:t>
      </w:r>
    </w:p>
    <w:p w14:paraId="5D8A8C99"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7.3. O tomador não poderá se opor à manutenção da cobertura, exceto se ocorrer a substituição da apólice por nova garantia, suficiente e idônea, devidamente aceita pelo segurado.</w:t>
      </w:r>
    </w:p>
    <w:p w14:paraId="2740A2F9"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7.4. A seguradora e o tomador devem iniciar os procedimentos de renovação do seguro garantia 90 (noventa) dias antes do fim da vigência da apólice.</w:t>
      </w:r>
    </w:p>
    <w:p w14:paraId="75B8F8AE"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7.5. O tomador ou a seguradora deverão apresentar o documento comprobatório da renovação do seguro garantia ao segurado antes do término da vigência da apólice.</w:t>
      </w:r>
    </w:p>
    <w:p w14:paraId="54291D53"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 Expectativa, caracterização e comunicação do sinistro:</w:t>
      </w:r>
    </w:p>
    <w:p w14:paraId="4856EB9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8.1. A expectativa de sinistro configura-se pelo não pagamento de parcela da dívida negociada pelo tomador e será comunicada à seguradora com a divulgação mensal da relação dos devedores com parcelas em atraso no sítio do segurado na internet [www.gov.br/</w:t>
      </w:r>
      <w:proofErr w:type="spellStart"/>
      <w:r w:rsidRPr="008315E1">
        <w:rPr>
          <w:rFonts w:ascii="Arial" w:eastAsia="Times New Roman" w:hAnsi="Arial" w:cs="Arial"/>
          <w:color w:val="162937"/>
          <w:kern w:val="0"/>
          <w:sz w:val="20"/>
          <w:szCs w:val="20"/>
          <w:lang w:eastAsia="pt-BR"/>
          <w14:ligatures w14:val="none"/>
        </w:rPr>
        <w:t>pgfn</w:t>
      </w:r>
      <w:proofErr w:type="spellEnd"/>
      <w:r w:rsidRPr="008315E1">
        <w:rPr>
          <w:rFonts w:ascii="Arial" w:eastAsia="Times New Roman" w:hAnsi="Arial" w:cs="Arial"/>
          <w:color w:val="162937"/>
          <w:kern w:val="0"/>
          <w:sz w:val="20"/>
          <w:szCs w:val="20"/>
          <w:lang w:eastAsia="pt-BR"/>
          <w14:ligatures w14:val="none"/>
        </w:rPr>
        <w:t>].</w:t>
      </w:r>
    </w:p>
    <w:p w14:paraId="49980187"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8.2. Fica caracterizado o sinistro quando ocorrer um dos seguintes eventos:</w:t>
      </w:r>
    </w:p>
    <w:p w14:paraId="677F6870"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8.2.1. O não pagamento do valor garantido pelo tomador, após a ciência da rescisão da negociação administrativa, por notificação do segurado, inclusive por publicação de edital de rescisão na internet.</w:t>
      </w:r>
    </w:p>
    <w:p w14:paraId="1DD68D12"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8.2.2. O vencimento da apólice sem o cumprimento da obrigação de renovar o seguro garantia, quando o prazo de vigência for inferior à duração da negociação administrativa, ressalvada a aceitação de nova garantia, suficiente e idônea, pelo segurado.</w:t>
      </w:r>
    </w:p>
    <w:p w14:paraId="4AEEB31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8.3. A comunicação do sinistro ocorrerá quando da notificação da seguradora para pagamento do valor decorrente da rescisão da negociação administrativa.</w:t>
      </w:r>
    </w:p>
    <w:p w14:paraId="42598B77"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8.4. Ocorrido o sinistro, é vedada a aceitação de novo seguro garantia relativo ao mesmo débito, ainda que com data retroativa.</w:t>
      </w:r>
    </w:p>
    <w:p w14:paraId="004835B7"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8.5. A comunicação de sinistros amparados pela presente apólice poderá ser realizada durante o prazo prescricional, nos termos da cláusula 17 destas Condições Contratuais</w:t>
      </w:r>
    </w:p>
    <w:p w14:paraId="6D416D04"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8.6. Caso a seguradora conclua pela não caracterização do sinistro, comunicará formalmente ao segurado, por escrito, sua negativa de indenização, apresentando, conjuntamente, as razões que embasaram sua conclusão, de forma detalhada.</w:t>
      </w:r>
    </w:p>
    <w:p w14:paraId="020033DC"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9. Indenização:</w:t>
      </w:r>
    </w:p>
    <w:p w14:paraId="5CD2351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xml:space="preserve">9.1. Caracterizado o sinistro, a seguradora cumprirá a obrigação descrita na apólice, até o limite máximo de garantia </w:t>
      </w:r>
      <w:proofErr w:type="gramStart"/>
      <w:r w:rsidRPr="008315E1">
        <w:rPr>
          <w:rFonts w:ascii="Arial" w:eastAsia="Times New Roman" w:hAnsi="Arial" w:cs="Arial"/>
          <w:color w:val="162937"/>
          <w:kern w:val="0"/>
          <w:sz w:val="20"/>
          <w:szCs w:val="20"/>
          <w:lang w:eastAsia="pt-BR"/>
          <w14:ligatures w14:val="none"/>
        </w:rPr>
        <w:t>da mesma</w:t>
      </w:r>
      <w:proofErr w:type="gramEnd"/>
      <w:r w:rsidRPr="008315E1">
        <w:rPr>
          <w:rFonts w:ascii="Arial" w:eastAsia="Times New Roman" w:hAnsi="Arial" w:cs="Arial"/>
          <w:color w:val="162937"/>
          <w:kern w:val="0"/>
          <w:sz w:val="20"/>
          <w:szCs w:val="20"/>
          <w:lang w:eastAsia="pt-BR"/>
          <w14:ligatures w14:val="none"/>
        </w:rPr>
        <w:t>, indenizando mediante pagamento em dinheiro.</w:t>
      </w:r>
    </w:p>
    <w:p w14:paraId="074BC014"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9.2. O pagamento da indenização correspondente ao valor do saldo devedor remanescente da rescisão da negociação, atualizado até o mês do pagamento pelos índices legais aplicáveis aos débitos inscritos em dívida ativa da União ou do FGTS, deverá ser realizado no prazo de 15 (quinze) dias, contados da comunicação do segurado à seguradora.</w:t>
      </w:r>
    </w:p>
    <w:p w14:paraId="0014680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lastRenderedPageBreak/>
        <w:t>9.3. Na hipótese de solicitação de documentos complementares para caracterização e apuração dos valores da indenização, no prazo de 15 (quinze) dias do recebimento da comunicação, em caso de dúvida fundada e mediante justificação expressa da seguradora, o prazo de 15 (quinze) dias para pagamento da indenização será suspenso, reiniciando sua contagem a partir do dia útil subsequente àquele em que forem prestadas as informações pelo segurado.</w:t>
      </w:r>
    </w:p>
    <w:p w14:paraId="29E7A73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10. Alteração da apólice e atualização de valores:</w:t>
      </w:r>
    </w:p>
    <w:p w14:paraId="3705C3B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10.1. A apólice somente poderá ser alterada mediante pedido do segurado ou com a sua expressa concordância.</w:t>
      </w:r>
    </w:p>
    <w:p w14:paraId="733129F3"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10.2. O não pagamento das obrigações pecuniárias da seguradora, inclusive da indenização nos termos da cláusula 9, dentro do prazo para pagamento da respectiva obrigação, acarretará a atualização monetária automática do valor da garantia de acordo com o índice de atualização e juros aplicáveis aos débitos inscritos em dívida ativa da União ou do FGTS, sem exigência de manifestação expressa do segurado ou do tomador.</w:t>
      </w:r>
    </w:p>
    <w:p w14:paraId="40234883"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10.3. O pagamento de valores relativos à atualização monetária e juros de mora será feito independentemente de qualquer interpelação judicial ou extrajudicial.</w:t>
      </w:r>
    </w:p>
    <w:p w14:paraId="24A19F89"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xml:space="preserve">11. </w:t>
      </w:r>
      <w:proofErr w:type="gramStart"/>
      <w:r w:rsidRPr="008315E1">
        <w:rPr>
          <w:rFonts w:ascii="Arial" w:eastAsia="Times New Roman" w:hAnsi="Arial" w:cs="Arial"/>
          <w:color w:val="162937"/>
          <w:kern w:val="0"/>
          <w:sz w:val="20"/>
          <w:szCs w:val="20"/>
          <w:lang w:eastAsia="pt-BR"/>
          <w14:ligatures w14:val="none"/>
        </w:rPr>
        <w:t>Sub-Rogação</w:t>
      </w:r>
      <w:proofErr w:type="gramEnd"/>
      <w:r w:rsidRPr="008315E1">
        <w:rPr>
          <w:rFonts w:ascii="Arial" w:eastAsia="Times New Roman" w:hAnsi="Arial" w:cs="Arial"/>
          <w:color w:val="162937"/>
          <w:kern w:val="0"/>
          <w:sz w:val="20"/>
          <w:szCs w:val="20"/>
          <w:lang w:eastAsia="pt-BR"/>
          <w14:ligatures w14:val="none"/>
        </w:rPr>
        <w:t>:</w:t>
      </w:r>
    </w:p>
    <w:p w14:paraId="67720B5B"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xml:space="preserve">11.1. </w:t>
      </w:r>
      <w:proofErr w:type="spellStart"/>
      <w:r w:rsidRPr="008315E1">
        <w:rPr>
          <w:rFonts w:ascii="Arial" w:eastAsia="Times New Roman" w:hAnsi="Arial" w:cs="Arial"/>
          <w:color w:val="162937"/>
          <w:kern w:val="0"/>
          <w:sz w:val="20"/>
          <w:szCs w:val="20"/>
          <w:lang w:eastAsia="pt-BR"/>
          <w14:ligatures w14:val="none"/>
        </w:rPr>
        <w:t>Paga</w:t>
      </w:r>
      <w:proofErr w:type="spellEnd"/>
      <w:r w:rsidRPr="008315E1">
        <w:rPr>
          <w:rFonts w:ascii="Arial" w:eastAsia="Times New Roman" w:hAnsi="Arial" w:cs="Arial"/>
          <w:color w:val="162937"/>
          <w:kern w:val="0"/>
          <w:sz w:val="20"/>
          <w:szCs w:val="20"/>
          <w:lang w:eastAsia="pt-BR"/>
          <w14:ligatures w14:val="none"/>
        </w:rPr>
        <w:t xml:space="preserve"> a indenização ou iniciado o cumprimento das obrigações inadimplidas pelo tomador, a seguradora sub-rogar-se-á nos direitos e privilégios do segurado contra o tomador, ou contra terceiros cujos atos ou fatos tenham dado causa ao sinistro.</w:t>
      </w:r>
    </w:p>
    <w:p w14:paraId="1D2A91EE"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11.2. É ineficaz qualquer ato do segurado que diminua ou extinga, em prejuízo do segurador, os direitos a que se refere esta cláusula.</w:t>
      </w:r>
    </w:p>
    <w:p w14:paraId="052D123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12. Concorrência de Garantias:</w:t>
      </w:r>
    </w:p>
    <w:p w14:paraId="2D203E5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12.1. No caso de existirem duas ou mais formas de garantia distintas, cobrindo cada uma delas o objeto deste seguro, em benefício do mesmo segurado ou beneficiário, a seguradora responderá, de forma proporcional ao risco assumido, com os demais participantes, relativamente ao prejuízo comum.</w:t>
      </w:r>
    </w:p>
    <w:p w14:paraId="490372B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13. Cosseguro:</w:t>
      </w:r>
    </w:p>
    <w:p w14:paraId="245455F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13.1. Na hipótese de divisão do risco segurado entre seguradoras, cada uma responderá pela quota-parte relativa ao valor total do seguro, inexistindo responsabilidade solidária entre as seguradoras, salvo previsão em sentido diverso no contrato de cosseguro.</w:t>
      </w:r>
    </w:p>
    <w:p w14:paraId="5272676D"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xml:space="preserve">13.1.1. Caso não haja previsão de solidariedade entre as seguradoras no contrato de cosseguro, deverá ser indicado no frontispício da apólice o limite de responsabilidade máxima assumida por cada </w:t>
      </w:r>
      <w:proofErr w:type="spellStart"/>
      <w:r w:rsidRPr="008315E1">
        <w:rPr>
          <w:rFonts w:ascii="Arial" w:eastAsia="Times New Roman" w:hAnsi="Arial" w:cs="Arial"/>
          <w:color w:val="162937"/>
          <w:kern w:val="0"/>
          <w:sz w:val="20"/>
          <w:szCs w:val="20"/>
          <w:lang w:eastAsia="pt-BR"/>
          <w14:ligatures w14:val="none"/>
        </w:rPr>
        <w:t>cosseguradora</w:t>
      </w:r>
      <w:proofErr w:type="spellEnd"/>
      <w:r w:rsidRPr="008315E1">
        <w:rPr>
          <w:rFonts w:ascii="Arial" w:eastAsia="Times New Roman" w:hAnsi="Arial" w:cs="Arial"/>
          <w:color w:val="162937"/>
          <w:kern w:val="0"/>
          <w:sz w:val="20"/>
          <w:szCs w:val="20"/>
          <w:lang w:eastAsia="pt-BR"/>
          <w14:ligatures w14:val="none"/>
        </w:rPr>
        <w:t>.</w:t>
      </w:r>
    </w:p>
    <w:p w14:paraId="09F6AF1F"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13.2. A seguradora líder assume a responsabilidade de administrar o contrato e de representar todas as demais no relacionamento com o segurado, inclusive em caso de sinistro.</w:t>
      </w:r>
    </w:p>
    <w:p w14:paraId="57A8E8AA"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14. Extinção do seguro garantia:</w:t>
      </w:r>
    </w:p>
    <w:p w14:paraId="05F2A8A3"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14.1. O seguro garantia será extinto na ocorrência de um dos seguintes eventos, o que ocorrer primeiro, sem prejuízo da comunicação do sinistro:</w:t>
      </w:r>
    </w:p>
    <w:p w14:paraId="493C37C0"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I - quando ocorrer a substituição da garantia oferecida ao segurado, com a respectiva aceitação do segurado;</w:t>
      </w:r>
    </w:p>
    <w:p w14:paraId="2633A5FB"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II - quando o segurado e a seguradora assim o acordarem;</w:t>
      </w:r>
    </w:p>
    <w:p w14:paraId="267350DF"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III - quando o pagamento da indenização ao segurado atingir o limite máximo de garantia da apólice;</w:t>
      </w:r>
    </w:p>
    <w:p w14:paraId="30F247D1"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IV - quando o objeto principal for extinto; ou</w:t>
      </w:r>
    </w:p>
    <w:p w14:paraId="59B9D75E"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V - quando do término de vigência previsto na apólice.</w:t>
      </w:r>
    </w:p>
    <w:p w14:paraId="49882510"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15. Rescisão contratual:</w:t>
      </w:r>
    </w:p>
    <w:p w14:paraId="0702B09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lastRenderedPageBreak/>
        <w:t>15.1. No caso de rescisão total ou parcial do contrato de seguro, a qualquer tempo, por iniciativa do segurado ou da seguradora e com a concordância recíproca, deverão ser observadas as seguintes disposições:</w:t>
      </w:r>
    </w:p>
    <w:p w14:paraId="0D3CE879"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15.1.1. Na hipótese de rescisão a pedido da sociedade seguradora, esta reterá do prêmio recebido, além dos emolumentos, a parte proporcional ao tempo decorrido;</w:t>
      </w:r>
    </w:p>
    <w:p w14:paraId="74AF211A"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15.1.2. Na hipótese de rescisão a pedido do segurado, a sociedade seguradora reterá, no máximo, além dos emolumentos, o prêmio calculado de acordo com a seguinte tabela de prazo curto:</w:t>
      </w:r>
    </w:p>
    <w:tbl>
      <w:tblPr>
        <w:tblW w:w="793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68"/>
        <w:gridCol w:w="1701"/>
        <w:gridCol w:w="2268"/>
        <w:gridCol w:w="1701"/>
      </w:tblGrid>
      <w:tr w:rsidR="008315E1" w:rsidRPr="008315E1" w14:paraId="25365C4C"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B2C0A7" w14:textId="77777777" w:rsidR="008315E1" w:rsidRPr="008315E1" w:rsidRDefault="008315E1" w:rsidP="007506D0">
            <w:pPr>
              <w:spacing w:after="0" w:line="240" w:lineRule="auto"/>
              <w:jc w:val="center"/>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Relação a ser aplicada sobre a vigência original para obtenção de prazo em dias</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895823C" w14:textId="77777777" w:rsidR="008315E1" w:rsidRPr="008315E1" w:rsidRDefault="008315E1" w:rsidP="007506D0">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Do Prêmio</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B22125" w14:textId="77777777" w:rsidR="008315E1" w:rsidRPr="008315E1" w:rsidRDefault="008315E1" w:rsidP="007506D0">
            <w:pPr>
              <w:spacing w:after="0" w:line="240" w:lineRule="auto"/>
              <w:jc w:val="center"/>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Relação a ser aplicada sobre a vigência original para obtenção de prazo em dias</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EAE711E" w14:textId="77777777" w:rsidR="008315E1" w:rsidRPr="008315E1" w:rsidRDefault="008315E1" w:rsidP="007506D0">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Do Prêmio</w:t>
            </w:r>
          </w:p>
        </w:tc>
      </w:tr>
      <w:tr w:rsidR="008315E1" w:rsidRPr="008315E1" w14:paraId="449002C4"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7FA5A1"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01D90C"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13</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F066BF"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195/365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A26881"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73</w:t>
            </w:r>
          </w:p>
        </w:tc>
      </w:tr>
      <w:tr w:rsidR="008315E1" w:rsidRPr="008315E1" w14:paraId="7A779D94"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C6F43D"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94BC99"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141DC2"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210/365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C6960F"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75</w:t>
            </w:r>
          </w:p>
        </w:tc>
      </w:tr>
      <w:tr w:rsidR="008315E1" w:rsidRPr="008315E1" w14:paraId="779FF10E"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E538B1"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45/365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BCB6F1"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27</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C310D1"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225/365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6916E4"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78</w:t>
            </w:r>
          </w:p>
        </w:tc>
      </w:tr>
      <w:tr w:rsidR="008315E1" w:rsidRPr="008315E1" w14:paraId="6720A63E"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DEFAA2F"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60/365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60AFE7"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E492129"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240/365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89FFA1"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80</w:t>
            </w:r>
          </w:p>
        </w:tc>
      </w:tr>
      <w:tr w:rsidR="008315E1" w:rsidRPr="008315E1" w14:paraId="34B865CA"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A9681CC"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FE50D1"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37</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6F365E"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255/365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85A930"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83</w:t>
            </w:r>
          </w:p>
        </w:tc>
      </w:tr>
      <w:tr w:rsidR="008315E1" w:rsidRPr="008315E1" w14:paraId="5DE573D5"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25B793"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90/365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0036ED"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40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48089A"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270/365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7EC202"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85</w:t>
            </w:r>
          </w:p>
        </w:tc>
      </w:tr>
      <w:tr w:rsidR="008315E1" w:rsidRPr="008315E1" w14:paraId="09F0101A"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99998E"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105/365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A4BB00"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46</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A69D62"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285/365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F07CCA"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88</w:t>
            </w:r>
          </w:p>
        </w:tc>
      </w:tr>
      <w:tr w:rsidR="008315E1" w:rsidRPr="008315E1" w14:paraId="699538A4"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A66A32"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120/365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44D535"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50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B43250"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300/365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FAFBA8"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90</w:t>
            </w:r>
          </w:p>
        </w:tc>
      </w:tr>
      <w:tr w:rsidR="008315E1" w:rsidRPr="008315E1" w14:paraId="636843FE"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AAD8E7"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135/365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4FC9EB"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56</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D021875"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315/365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712368"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93</w:t>
            </w:r>
          </w:p>
        </w:tc>
      </w:tr>
      <w:tr w:rsidR="008315E1" w:rsidRPr="008315E1" w14:paraId="5CCCED9A"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0540BD"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150/365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9167DB"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60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4A0430"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330/365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8F9827"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95</w:t>
            </w:r>
          </w:p>
        </w:tc>
      </w:tr>
      <w:tr w:rsidR="008315E1" w:rsidRPr="008315E1" w14:paraId="65729C5D"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CC41A31"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165/365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2D9D32"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66</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F4675F"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345/365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52E8A0C"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98</w:t>
            </w:r>
          </w:p>
        </w:tc>
      </w:tr>
      <w:tr w:rsidR="008315E1" w:rsidRPr="008315E1" w14:paraId="279FDBF4" w14:textId="77777777" w:rsidTr="007506D0">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E589DA"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180/365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E669E2"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70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78B5FA"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365/365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EA1E78" w14:textId="77777777" w:rsidR="008315E1" w:rsidRPr="008315E1" w:rsidRDefault="008315E1" w:rsidP="008315E1">
            <w:pPr>
              <w:spacing w:after="0" w:line="240" w:lineRule="auto"/>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100</w:t>
            </w:r>
          </w:p>
        </w:tc>
      </w:tr>
    </w:tbl>
    <w:p w14:paraId="3AC5EADF"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15.1.2.1. Para prazos não previstos na tabela constante da cláusula 15.1.2., deverá ser utilizado percentual correspondente ao prazo imediatamente inferior.</w:t>
      </w:r>
    </w:p>
    <w:p w14:paraId="55D02E93"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15.2. Não caberá qualquer devolução de prêmio na hipótese de a seguradora efetuar o pagamento da indenização, ou quando do encerramento de sua vigência.</w:t>
      </w:r>
    </w:p>
    <w:p w14:paraId="2E9794C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15.3. A eventual devolução do prêmio pago, será atualizada mediante aplicação do IPCA, ou índice que lhe venha a substituir, da data de recebimento da solicitação de cancelamento realizada pelo tomador, devidamente acompanhada de documentação que comprove a inexistência de risco a ser coberto ou a substituição por nova garantia devidamente aceita pelo segurado, até a data de desembolso pela seguradora.</w:t>
      </w:r>
    </w:p>
    <w:p w14:paraId="08331B77"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16. Controvérsias:</w:t>
      </w:r>
    </w:p>
    <w:p w14:paraId="2BB16C2A"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16.1. As controvérsias surgidas na aplicação destas Condições Contratuais poderão ser resolvidas por medidas de caráter judicial.</w:t>
      </w:r>
    </w:p>
    <w:p w14:paraId="508F491E"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17. Prescrição:</w:t>
      </w:r>
    </w:p>
    <w:p w14:paraId="23F4F724"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17.1. Os prazos prescricionais são aqueles determinados pela legislação.</w:t>
      </w:r>
    </w:p>
    <w:p w14:paraId="07B9E17F"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18. Foro:</w:t>
      </w:r>
    </w:p>
    <w:p w14:paraId="010C6835"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18.1. As questões judiciais entre seguradora e segurado serão processadas no foro da Seção Judiciária ou da Subseção Judiciária, quando houver, da Justiça Federal com jurisdição sobre a unidade da Procuradoria-Geral da Fazenda Nacional competente para a cobrança do débito inscrito em dívida ativa para dirimir questões entre o segurado (União ou FGTS) e a seguradora, sendo inaplicável a cláusula compromissória de arbitragem.</w:t>
      </w:r>
    </w:p>
    <w:p w14:paraId="54066D07"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19. Disposições Finais:</w:t>
      </w:r>
    </w:p>
    <w:p w14:paraId="15919318"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lastRenderedPageBreak/>
        <w:t>19.1. Atos exclusivos do tomador, da seguradora ou de ambos não poderão gerar perdas ou prejuízo ao segurado.</w:t>
      </w:r>
    </w:p>
    <w:p w14:paraId="0CC4ADBA"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19.2. A presente apólice não conta com franquias, participações obrigatórias do segurado e prazo de carência.</w:t>
      </w:r>
    </w:p>
    <w:p w14:paraId="70498046"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19.3. A contratação do seguro estará sujeita à análise do risco pela seguradora.</w:t>
      </w:r>
    </w:p>
    <w:p w14:paraId="4ECAF71D"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 xml:space="preserve">19.4. As apólices e endossos terão seu início e término de vigência às 24 </w:t>
      </w:r>
      <w:proofErr w:type="spellStart"/>
      <w:r w:rsidRPr="008315E1">
        <w:rPr>
          <w:rFonts w:ascii="Arial" w:eastAsia="Times New Roman" w:hAnsi="Arial" w:cs="Arial"/>
          <w:color w:val="162937"/>
          <w:kern w:val="0"/>
          <w:sz w:val="20"/>
          <w:szCs w:val="20"/>
          <w:lang w:eastAsia="pt-BR"/>
          <w14:ligatures w14:val="none"/>
        </w:rPr>
        <w:t>hs</w:t>
      </w:r>
      <w:proofErr w:type="spellEnd"/>
      <w:r w:rsidRPr="008315E1">
        <w:rPr>
          <w:rFonts w:ascii="Arial" w:eastAsia="Times New Roman" w:hAnsi="Arial" w:cs="Arial"/>
          <w:color w:val="162937"/>
          <w:kern w:val="0"/>
          <w:sz w:val="20"/>
          <w:szCs w:val="20"/>
          <w:lang w:eastAsia="pt-BR"/>
          <w14:ligatures w14:val="none"/>
        </w:rPr>
        <w:t xml:space="preserve"> das datas para tal fim neles indicadas.</w:t>
      </w:r>
    </w:p>
    <w:p w14:paraId="5B76ECC6"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19.5. O registro deste plano na Superintendência de Seguros Privados - Susep não implica, por parte da autarquia, incentivo ou recomendação à sua comercialização.</w:t>
      </w:r>
    </w:p>
    <w:p w14:paraId="7C664E94"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19.6. A situação cadastral do corretor de seguros pode ser consultada no site susep.gov.br, por meio do número de seu registro na Susep, nome completo, CNPJ ou CPF.</w:t>
      </w:r>
    </w:p>
    <w:p w14:paraId="7BE17E1F" w14:textId="77777777" w:rsidR="008315E1" w:rsidRPr="008315E1" w:rsidRDefault="008315E1" w:rsidP="008315E1">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8315E1">
        <w:rPr>
          <w:rFonts w:ascii="Arial" w:eastAsia="Times New Roman" w:hAnsi="Arial" w:cs="Arial"/>
          <w:color w:val="162937"/>
          <w:kern w:val="0"/>
          <w:sz w:val="20"/>
          <w:szCs w:val="20"/>
          <w:lang w:eastAsia="pt-BR"/>
          <w14:ligatures w14:val="none"/>
        </w:rPr>
        <w:t>19.7. Este seguro é contratado a primeiro risco absoluto, forma de contratação na qual a seguradora responde integralmente pelo valor do sinistro, limitado ao valor da garantia, não se aplicando, em qualquer hipótese, cláusula de rateio.</w:t>
      </w:r>
    </w:p>
    <w:p w14:paraId="2F5D2D95" w14:textId="56A02F5C" w:rsidR="00623270" w:rsidRPr="008315E1" w:rsidRDefault="008315E1" w:rsidP="005A0621">
      <w:pPr>
        <w:shd w:val="clear" w:color="auto" w:fill="FFFFFF"/>
        <w:spacing w:after="150" w:line="240" w:lineRule="auto"/>
        <w:ind w:firstLine="1200"/>
        <w:jc w:val="both"/>
        <w:rPr>
          <w:rFonts w:ascii="Arial" w:hAnsi="Arial" w:cs="Arial"/>
          <w:sz w:val="20"/>
          <w:szCs w:val="20"/>
        </w:rPr>
      </w:pPr>
      <w:r w:rsidRPr="008315E1">
        <w:rPr>
          <w:rFonts w:ascii="Arial" w:eastAsia="Times New Roman" w:hAnsi="Arial" w:cs="Arial"/>
          <w:color w:val="162937"/>
          <w:kern w:val="0"/>
          <w:sz w:val="20"/>
          <w:szCs w:val="20"/>
          <w:lang w:eastAsia="pt-BR"/>
          <w14:ligatures w14:val="none"/>
        </w:rPr>
        <w:t>19.8. Considera-se como âmbito geográfico das modalidades contratadas todo o território nacional.</w:t>
      </w:r>
    </w:p>
    <w:sectPr w:rsidR="00623270" w:rsidRPr="008315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E1"/>
    <w:rsid w:val="005A0621"/>
    <w:rsid w:val="005A2639"/>
    <w:rsid w:val="00623270"/>
    <w:rsid w:val="00632C90"/>
    <w:rsid w:val="007506D0"/>
    <w:rsid w:val="008315E1"/>
    <w:rsid w:val="009D3C12"/>
    <w:rsid w:val="00D72B97"/>
    <w:rsid w:val="00F56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C7C5"/>
  <w15:chartTrackingRefBased/>
  <w15:docId w15:val="{F356B787-F804-4A03-85E7-115FDEE5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8315E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3072</Words>
  <Characters>16590</Characters>
  <Application>Microsoft Office Word</Application>
  <DocSecurity>0</DocSecurity>
  <Lines>138</Lines>
  <Paragraphs>39</Paragraphs>
  <ScaleCrop>false</ScaleCrop>
  <Company>Receita Federal do Brasil</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Medeiros de Magalhães Padilha</dc:creator>
  <cp:keywords/>
  <dc:description/>
  <cp:lastModifiedBy>Rogerio de Almeida Ribeiro</cp:lastModifiedBy>
  <cp:revision>2</cp:revision>
  <dcterms:created xsi:type="dcterms:W3CDTF">2025-01-07T05:01:00Z</dcterms:created>
  <dcterms:modified xsi:type="dcterms:W3CDTF">2025-01-07T05:01:00Z</dcterms:modified>
</cp:coreProperties>
</file>